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140" w:rsidRPr="00170B2F" w:rsidRDefault="00057140" w:rsidP="00057140">
      <w:pPr>
        <w:jc w:val="center"/>
        <w:rPr>
          <w:lang w:val="en-US"/>
        </w:rPr>
      </w:pPr>
      <w:r>
        <w:rPr>
          <w:noProof/>
          <w:lang w:val="fr"/>
        </w:rPr>
        <w:drawing>
          <wp:inline distT="0" distB="0" distL="0" distR="0">
            <wp:extent cx="781050" cy="781050"/>
            <wp:effectExtent l="19050" t="19050" r="19050" b="19050"/>
            <wp:docPr id="28" name="Obraz 28" descr="CL12-betonia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L12 - betoniar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val="fr"/>
        </w:rPr>
        <w:drawing>
          <wp:inline distT="0" distB="0" distL="0" distR="0">
            <wp:extent cx="762000" cy="774095"/>
            <wp:effectExtent l="38100" t="19050" r="19050" b="26005"/>
            <wp:docPr id="29" name="Obraz 29" descr="08-wysokociśnieni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08 - wysokociśnieniow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40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F47F0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"/>
        </w:rPr>
        <w:t xml:space="preserve"> </w:t>
      </w:r>
      <w:r>
        <w:rPr>
          <w:noProof/>
          <w:lang w:val="fr"/>
        </w:rPr>
        <w:drawing>
          <wp:inline distT="0" distB="0" distL="0" distR="0">
            <wp:extent cx="771525" cy="771525"/>
            <wp:effectExtent l="19050" t="19050" r="28575" b="28575"/>
            <wp:docPr id="30" name="Obraz 30" descr="01-rę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01 - ręcz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747E4" w:rsidRDefault="00A747E4" w:rsidP="00A747E4">
      <w:pPr>
        <w:jc w:val="center"/>
        <w:rPr>
          <w:b/>
          <w:i/>
          <w:sz w:val="30"/>
          <w:szCs w:val="30"/>
        </w:rPr>
      </w:pPr>
    </w:p>
    <w:p w:rsidR="00057140" w:rsidRPr="00A747E4" w:rsidRDefault="00057140" w:rsidP="00A747E4">
      <w:pPr>
        <w:jc w:val="center"/>
        <w:rPr>
          <w:b/>
          <w:i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885"/>
      </w:tblGrid>
      <w:tr w:rsidR="00A747E4" w:rsidTr="00A27BC9">
        <w:trPr>
          <w:trHeight w:val="198"/>
          <w:jc w:val="center"/>
        </w:trPr>
        <w:tc>
          <w:tcPr>
            <w:tcW w:w="885" w:type="dxa"/>
            <w:tcBorders>
              <w:bottom w:val="nil"/>
            </w:tcBorders>
            <w:shd w:val="clear" w:color="auto" w:fill="auto"/>
            <w:vAlign w:val="center"/>
          </w:tcPr>
          <w:p w:rsidR="00A747E4" w:rsidRPr="00003D19" w:rsidRDefault="00A747E4" w:rsidP="007752CE">
            <w:pPr>
              <w:spacing w:line="360" w:lineRule="auto"/>
              <w:ind w:left="-119" w:right="-108"/>
              <w:jc w:val="center"/>
              <w:rPr>
                <w:sz w:val="16"/>
                <w:szCs w:val="16"/>
              </w:rPr>
            </w:pPr>
            <w:r w:rsidRPr="00003D19">
              <w:rPr>
                <w:sz w:val="16"/>
                <w:szCs w:val="16"/>
                <w:lang w:val="fr"/>
              </w:rPr>
              <w:t>Symbole</w:t>
            </w:r>
          </w:p>
        </w:tc>
        <w:tc>
          <w:tcPr>
            <w:tcW w:w="885" w:type="dxa"/>
            <w:shd w:val="clear" w:color="auto" w:fill="000000"/>
            <w:vAlign w:val="center"/>
          </w:tcPr>
          <w:p w:rsidR="00A747E4" w:rsidRPr="00003D19" w:rsidRDefault="00A747E4" w:rsidP="00A747E4">
            <w:pPr>
              <w:spacing w:line="360" w:lineRule="auto"/>
              <w:ind w:left="-108" w:right="-74"/>
              <w:jc w:val="center"/>
              <w:rPr>
                <w:b/>
              </w:rPr>
            </w:pPr>
            <w:r w:rsidRPr="00003D19">
              <w:rPr>
                <w:b/>
                <w:lang w:val="fr"/>
              </w:rPr>
              <w:t>Ph</w:t>
            </w:r>
          </w:p>
        </w:tc>
      </w:tr>
      <w:tr w:rsidR="00A747E4" w:rsidTr="0059579E">
        <w:trPr>
          <w:trHeight w:val="198"/>
          <w:jc w:val="center"/>
        </w:trPr>
        <w:tc>
          <w:tcPr>
            <w:tcW w:w="885" w:type="dxa"/>
            <w:tcBorders>
              <w:top w:val="nil"/>
            </w:tcBorders>
            <w:vAlign w:val="center"/>
          </w:tcPr>
          <w:p w:rsidR="00A747E4" w:rsidRPr="00003D19" w:rsidRDefault="00C16A88" w:rsidP="00057140">
            <w:pPr>
              <w:spacing w:line="360" w:lineRule="auto"/>
              <w:ind w:left="-119" w:right="-108"/>
              <w:jc w:val="center"/>
              <w:rPr>
                <w:b/>
              </w:rPr>
            </w:pPr>
            <w:r>
              <w:rPr>
                <w:b/>
                <w:lang w:val="fr"/>
              </w:rPr>
              <w:t>A</w:t>
            </w:r>
            <w:r w:rsidR="0059579E">
              <w:rPr>
                <w:b/>
                <w:lang w:val="fr"/>
              </w:rPr>
              <w:t>-</w:t>
            </w:r>
            <w:r w:rsidR="00057140">
              <w:rPr>
                <w:b/>
                <w:lang w:val="fr"/>
              </w:rPr>
              <w:t>17</w:t>
            </w:r>
          </w:p>
        </w:tc>
        <w:tc>
          <w:tcPr>
            <w:tcW w:w="885" w:type="dxa"/>
            <w:vAlign w:val="center"/>
          </w:tcPr>
          <w:p w:rsidR="00A747E4" w:rsidRPr="00003D19" w:rsidRDefault="0059579E" w:rsidP="0059579E">
            <w:pPr>
              <w:spacing w:line="360" w:lineRule="auto"/>
              <w:ind w:left="-108" w:right="-74"/>
              <w:jc w:val="center"/>
              <w:rPr>
                <w:b/>
              </w:rPr>
            </w:pPr>
            <w:r>
              <w:rPr>
                <w:b/>
                <w:lang w:val="fr"/>
              </w:rPr>
              <w:t>1</w:t>
            </w:r>
          </w:p>
        </w:tc>
      </w:tr>
    </w:tbl>
    <w:p w:rsidR="00AA4AE6" w:rsidRDefault="00AA4AE6" w:rsidP="00A747E4">
      <w:pPr>
        <w:jc w:val="center"/>
      </w:pPr>
    </w:p>
    <w:p w:rsidR="000739A8" w:rsidRDefault="000D78F7" w:rsidP="003E0D18">
      <w:pPr>
        <w:ind w:left="-851" w:right="-851"/>
        <w:jc w:val="both"/>
        <w:rPr>
          <w:rFonts w:ascii="Arial" w:hAnsi="Arial" w:cs="Arial"/>
          <w:sz w:val="28"/>
          <w:szCs w:val="18"/>
          <w:lang w:val="en-US"/>
        </w:rPr>
      </w:pPr>
      <w:r>
        <w:rPr>
          <w:sz w:val="28"/>
          <w:szCs w:val="18"/>
          <w:lang w:val="fr"/>
        </w:rPr>
        <w:t>Produit forte</w:t>
      </w:r>
      <w:r w:rsidR="003B43D5">
        <w:rPr>
          <w:sz w:val="28"/>
          <w:szCs w:val="18"/>
          <w:lang w:val="fr"/>
        </w:rPr>
        <w:t>ment</w:t>
      </w:r>
      <w:r>
        <w:rPr>
          <w:sz w:val="28"/>
          <w:szCs w:val="18"/>
          <w:lang w:val="fr"/>
        </w:rPr>
        <w:t xml:space="preserve"> acidifié, conçu pour enlever la rouille, le calcaire et le </w:t>
      </w:r>
      <w:r w:rsidR="00F50498">
        <w:rPr>
          <w:sz w:val="28"/>
          <w:szCs w:val="18"/>
          <w:lang w:val="fr"/>
        </w:rPr>
        <w:t>goutte à goutte</w:t>
      </w:r>
      <w:r>
        <w:rPr>
          <w:sz w:val="28"/>
          <w:szCs w:val="18"/>
          <w:lang w:val="fr"/>
        </w:rPr>
        <w:t xml:space="preserve"> des substances à épreuve de l'acidité. Contient des inhibiteurs de corrosion. Dédiée à enlèvement du béton des véhicules mécaniques et des véhicules de construction spécialisés.</w:t>
      </w:r>
    </w:p>
    <w:p w:rsidR="000D78F7" w:rsidRDefault="000D78F7" w:rsidP="003E0D18">
      <w:pPr>
        <w:ind w:left="-851" w:right="-851"/>
        <w:jc w:val="both"/>
        <w:rPr>
          <w:rFonts w:ascii="Arial" w:hAnsi="Arial" w:cs="Arial"/>
          <w:sz w:val="28"/>
          <w:szCs w:val="18"/>
          <w:lang w:val="en-US"/>
        </w:rPr>
      </w:pPr>
      <w:r>
        <w:rPr>
          <w:sz w:val="28"/>
          <w:szCs w:val="18"/>
          <w:lang w:val="fr"/>
        </w:rPr>
        <w:t>Recommandé pour un nettoyage approfondi. Contient de l'acide chlorhydrique.</w:t>
      </w:r>
    </w:p>
    <w:p w:rsidR="000B4520" w:rsidRDefault="000B4520" w:rsidP="003E0D18">
      <w:pPr>
        <w:ind w:left="-851" w:right="-851"/>
        <w:jc w:val="both"/>
        <w:rPr>
          <w:rFonts w:ascii="Arial" w:hAnsi="Arial" w:cs="Arial"/>
          <w:sz w:val="28"/>
          <w:szCs w:val="18"/>
          <w:lang w:val="en-US"/>
        </w:rPr>
      </w:pPr>
    </w:p>
    <w:p w:rsidR="003E0D18" w:rsidRDefault="003E0D18" w:rsidP="003E0D18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3E0D18" w:rsidRPr="002D1367" w:rsidRDefault="00F50498" w:rsidP="003E0D18">
      <w:pPr>
        <w:ind w:left="-851" w:right="-851"/>
        <w:jc w:val="both"/>
        <w:rPr>
          <w:rFonts w:ascii="Arial" w:hAnsi="Arial" w:cs="Arial"/>
          <w:b/>
          <w:i/>
          <w:sz w:val="36"/>
          <w:szCs w:val="28"/>
          <w:lang w:val="en-US"/>
        </w:rPr>
      </w:pPr>
      <w:r w:rsidRPr="002D1367">
        <w:rPr>
          <w:b/>
          <w:i/>
          <w:sz w:val="36"/>
          <w:szCs w:val="28"/>
          <w:lang w:val="fr"/>
        </w:rPr>
        <w:t>Application:</w:t>
      </w:r>
    </w:p>
    <w:p w:rsidR="00FC52A9" w:rsidRPr="00FC52A9" w:rsidRDefault="00FC52A9" w:rsidP="003E0D18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FC52A9">
        <w:rPr>
          <w:sz w:val="28"/>
          <w:szCs w:val="28"/>
          <w:lang w:val="fr"/>
        </w:rPr>
        <w:t xml:space="preserve">- </w:t>
      </w:r>
      <w:r w:rsidR="004258B1" w:rsidRPr="003B43D5">
        <w:rPr>
          <w:sz w:val="28"/>
          <w:szCs w:val="28"/>
          <w:lang w:val="fr"/>
        </w:rPr>
        <w:t xml:space="preserve">matériel de construction, </w:t>
      </w:r>
      <w:r w:rsidR="003B43D5" w:rsidRPr="003B43D5">
        <w:rPr>
          <w:rStyle w:val="shorttext"/>
          <w:sz w:val="28"/>
          <w:szCs w:val="28"/>
        </w:rPr>
        <w:t>bétonnières</w:t>
      </w:r>
      <w:r w:rsidR="004258B1" w:rsidRPr="003B43D5">
        <w:rPr>
          <w:sz w:val="28"/>
          <w:szCs w:val="28"/>
          <w:lang w:val="fr"/>
        </w:rPr>
        <w:t>, équipement spécialisé</w:t>
      </w:r>
    </w:p>
    <w:p w:rsidR="00AA7DD9" w:rsidRDefault="00AA7DD9" w:rsidP="003E0D18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2D1367" w:rsidRDefault="002D1367" w:rsidP="003E0D18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AA7DD9" w:rsidRPr="002D1367" w:rsidRDefault="00F50498" w:rsidP="00AA7DD9">
      <w:pPr>
        <w:ind w:left="-851" w:right="-851"/>
        <w:jc w:val="both"/>
        <w:rPr>
          <w:rFonts w:ascii="Arial" w:hAnsi="Arial" w:cs="Arial"/>
          <w:b/>
          <w:i/>
          <w:sz w:val="36"/>
          <w:szCs w:val="28"/>
          <w:lang w:val="en-US"/>
        </w:rPr>
      </w:pPr>
      <w:r w:rsidRPr="002D1367">
        <w:rPr>
          <w:b/>
          <w:i/>
          <w:sz w:val="36"/>
          <w:szCs w:val="28"/>
          <w:lang w:val="fr"/>
        </w:rPr>
        <w:t>Composition:</w:t>
      </w:r>
    </w:p>
    <w:p w:rsidR="004258B1" w:rsidRPr="004258B1" w:rsidRDefault="004258B1" w:rsidP="004258B1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4258B1">
        <w:rPr>
          <w:sz w:val="28"/>
          <w:szCs w:val="28"/>
          <w:lang w:val="fr"/>
        </w:rPr>
        <w:t>-&lt; 22%</w:t>
      </w:r>
      <w:r w:rsidRPr="004258B1">
        <w:rPr>
          <w:sz w:val="28"/>
          <w:szCs w:val="28"/>
          <w:lang w:val="fr"/>
        </w:rPr>
        <w:tab/>
      </w:r>
      <w:r w:rsidR="003B43D5">
        <w:rPr>
          <w:sz w:val="28"/>
          <w:szCs w:val="28"/>
          <w:lang w:val="fr"/>
        </w:rPr>
        <w:t>A</w:t>
      </w:r>
      <w:r w:rsidRPr="004258B1">
        <w:rPr>
          <w:sz w:val="28"/>
          <w:szCs w:val="28"/>
          <w:lang w:val="fr"/>
        </w:rPr>
        <w:t>cide chlorhydrique</w:t>
      </w:r>
    </w:p>
    <w:p w:rsidR="00D1165E" w:rsidRDefault="004258B1" w:rsidP="004258B1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4258B1">
        <w:rPr>
          <w:sz w:val="28"/>
          <w:szCs w:val="28"/>
          <w:lang w:val="fr"/>
        </w:rPr>
        <w:t xml:space="preserve">-&lt; 5% </w:t>
      </w:r>
      <w:r w:rsidRPr="004258B1">
        <w:rPr>
          <w:sz w:val="28"/>
          <w:szCs w:val="28"/>
          <w:lang w:val="fr"/>
        </w:rPr>
        <w:tab/>
        <w:t>Tensioactifs anioniques</w:t>
      </w:r>
    </w:p>
    <w:p w:rsidR="004258B1" w:rsidRDefault="004258B1" w:rsidP="004258B1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p w:rsidR="00A56F5C" w:rsidRDefault="00A56F5C" w:rsidP="00AA7DD9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2D1367" w:rsidRPr="002D1367" w:rsidRDefault="00F50498" w:rsidP="002D1367">
      <w:pPr>
        <w:ind w:left="-851" w:right="-851"/>
        <w:jc w:val="both"/>
        <w:rPr>
          <w:rFonts w:ascii="Arial" w:hAnsi="Arial" w:cs="Arial"/>
          <w:b/>
          <w:i/>
          <w:sz w:val="36"/>
          <w:szCs w:val="28"/>
          <w:lang w:val="en-US"/>
        </w:rPr>
      </w:pPr>
      <w:r>
        <w:rPr>
          <w:b/>
          <w:i/>
          <w:sz w:val="36"/>
          <w:szCs w:val="28"/>
          <w:lang w:val="fr"/>
        </w:rPr>
        <w:t>Utilisation</w:t>
      </w:r>
      <w:r w:rsidRPr="002D1367">
        <w:rPr>
          <w:b/>
          <w:i/>
          <w:sz w:val="36"/>
          <w:szCs w:val="28"/>
          <w:lang w:val="fr"/>
        </w:rPr>
        <w:t xml:space="preserve"> :</w:t>
      </w:r>
    </w:p>
    <w:p w:rsidR="00D1165E" w:rsidRPr="00F50498" w:rsidRDefault="00565C1F" w:rsidP="00AA7DD9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F50498">
        <w:rPr>
          <w:sz w:val="28"/>
          <w:szCs w:val="28"/>
          <w:lang w:val="fr"/>
        </w:rPr>
        <w:t>Avant de l'utiliser, lisez la fiche signalétique du produit.</w:t>
      </w:r>
    </w:p>
    <w:p w:rsidR="00565C1F" w:rsidRPr="00F50498" w:rsidRDefault="00413103" w:rsidP="00AA7DD9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F50498">
        <w:rPr>
          <w:sz w:val="28"/>
          <w:szCs w:val="28"/>
          <w:lang w:val="fr"/>
        </w:rPr>
        <w:t>-</w:t>
      </w:r>
      <w:r w:rsidR="00F50498" w:rsidRPr="00F50498">
        <w:rPr>
          <w:sz w:val="28"/>
          <w:szCs w:val="28"/>
          <w:lang w:val="fr"/>
        </w:rPr>
        <w:t xml:space="preserve"> </w:t>
      </w:r>
      <w:r w:rsidR="00F50498">
        <w:rPr>
          <w:rStyle w:val="shorttext"/>
          <w:sz w:val="28"/>
          <w:szCs w:val="28"/>
          <w:lang w:val="fr"/>
        </w:rPr>
        <w:t>E</w:t>
      </w:r>
      <w:r w:rsidR="00F50498" w:rsidRPr="00F50498">
        <w:rPr>
          <w:rStyle w:val="shorttext"/>
          <w:sz w:val="28"/>
          <w:szCs w:val="28"/>
          <w:lang w:val="fr"/>
        </w:rPr>
        <w:t xml:space="preserve">nlever </w:t>
      </w:r>
      <w:r w:rsidR="003B43D5">
        <w:rPr>
          <w:rStyle w:val="shorttext"/>
          <w:sz w:val="28"/>
          <w:szCs w:val="28"/>
          <w:lang w:val="fr"/>
        </w:rPr>
        <w:t>l’excès</w:t>
      </w:r>
      <w:r w:rsidR="00F50498" w:rsidRPr="00F50498">
        <w:rPr>
          <w:rStyle w:val="shorttext"/>
          <w:sz w:val="28"/>
          <w:szCs w:val="28"/>
          <w:lang w:val="fr"/>
        </w:rPr>
        <w:t xml:space="preserve"> de béton avec de l'eau </w:t>
      </w:r>
      <w:r w:rsidR="003B43D5">
        <w:rPr>
          <w:rStyle w:val="shorttext"/>
          <w:sz w:val="28"/>
          <w:szCs w:val="28"/>
          <w:lang w:val="fr"/>
        </w:rPr>
        <w:t>sous très haute</w:t>
      </w:r>
      <w:r w:rsidR="00F50498" w:rsidRPr="00F50498">
        <w:rPr>
          <w:rStyle w:val="shorttext"/>
          <w:sz w:val="28"/>
          <w:szCs w:val="28"/>
          <w:lang w:val="fr"/>
        </w:rPr>
        <w:t xml:space="preserve"> pression</w:t>
      </w:r>
      <w:r w:rsidR="00186841" w:rsidRPr="00F50498">
        <w:rPr>
          <w:sz w:val="28"/>
          <w:szCs w:val="28"/>
          <w:lang w:val="fr"/>
        </w:rPr>
        <w:t>.</w:t>
      </w:r>
    </w:p>
    <w:p w:rsidR="00413103" w:rsidRPr="00F50498" w:rsidRDefault="00413103" w:rsidP="00AA7DD9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F50498">
        <w:rPr>
          <w:sz w:val="28"/>
          <w:szCs w:val="28"/>
          <w:lang w:val="fr"/>
        </w:rPr>
        <w:t>-</w:t>
      </w:r>
      <w:r w:rsidR="00F50498">
        <w:rPr>
          <w:sz w:val="28"/>
          <w:szCs w:val="28"/>
          <w:lang w:val="fr"/>
        </w:rPr>
        <w:t>C</w:t>
      </w:r>
      <w:r w:rsidRPr="00F50498">
        <w:rPr>
          <w:sz w:val="28"/>
          <w:szCs w:val="28"/>
          <w:lang w:val="fr"/>
        </w:rPr>
        <w:t xml:space="preserve">RÉER une solution </w:t>
      </w:r>
      <w:proofErr w:type="gramStart"/>
      <w:r w:rsidRPr="00F50498">
        <w:rPr>
          <w:sz w:val="28"/>
          <w:szCs w:val="28"/>
          <w:lang w:val="fr"/>
        </w:rPr>
        <w:t>1:</w:t>
      </w:r>
      <w:proofErr w:type="gramEnd"/>
      <w:r w:rsidRPr="00F50498">
        <w:rPr>
          <w:sz w:val="28"/>
          <w:szCs w:val="28"/>
          <w:lang w:val="fr"/>
        </w:rPr>
        <w:t>5-1:10 avec de l'eau</w:t>
      </w:r>
    </w:p>
    <w:p w:rsidR="00D1165E" w:rsidRPr="00F50498" w:rsidRDefault="000A698B" w:rsidP="00AA7DD9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F50498">
        <w:rPr>
          <w:sz w:val="28"/>
          <w:szCs w:val="28"/>
          <w:lang w:val="fr"/>
        </w:rPr>
        <w:t xml:space="preserve">-Vaporisez-le sur la surface et </w:t>
      </w:r>
      <w:r w:rsidR="003B43D5">
        <w:rPr>
          <w:sz w:val="28"/>
          <w:szCs w:val="28"/>
          <w:lang w:val="fr"/>
        </w:rPr>
        <w:t>attendre</w:t>
      </w:r>
      <w:r w:rsidRPr="00F50498">
        <w:rPr>
          <w:sz w:val="28"/>
          <w:szCs w:val="28"/>
          <w:lang w:val="fr"/>
        </w:rPr>
        <w:t xml:space="preserve"> quelques minutes</w:t>
      </w:r>
    </w:p>
    <w:p w:rsidR="000A698B" w:rsidRPr="00F50498" w:rsidRDefault="000A698B" w:rsidP="00AA7DD9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F50498">
        <w:rPr>
          <w:sz w:val="28"/>
          <w:szCs w:val="28"/>
          <w:lang w:val="fr"/>
        </w:rPr>
        <w:t>-Lavez-le soigneusement avec de l'eau</w:t>
      </w:r>
      <w:r w:rsidR="00F50498">
        <w:rPr>
          <w:sz w:val="28"/>
          <w:szCs w:val="28"/>
          <w:lang w:val="fr"/>
        </w:rPr>
        <w:t xml:space="preserve"> </w:t>
      </w:r>
      <w:r w:rsidR="003B43D5">
        <w:rPr>
          <w:sz w:val="28"/>
          <w:szCs w:val="28"/>
          <w:lang w:val="fr"/>
        </w:rPr>
        <w:t>sous très haute</w:t>
      </w:r>
      <w:r w:rsidRPr="00F50498">
        <w:rPr>
          <w:sz w:val="28"/>
          <w:szCs w:val="28"/>
          <w:lang w:val="fr"/>
        </w:rPr>
        <w:t xml:space="preserve"> pression</w:t>
      </w:r>
    </w:p>
    <w:p w:rsidR="000A698B" w:rsidRPr="00F50498" w:rsidRDefault="000A698B" w:rsidP="00AA7DD9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F50498">
        <w:rPr>
          <w:sz w:val="28"/>
          <w:szCs w:val="28"/>
          <w:lang w:val="fr"/>
        </w:rPr>
        <w:t>-</w:t>
      </w:r>
      <w:r w:rsidR="00F50498">
        <w:rPr>
          <w:sz w:val="28"/>
          <w:szCs w:val="28"/>
          <w:lang w:val="fr"/>
        </w:rPr>
        <w:t>Ne pas laissez</w:t>
      </w:r>
      <w:r w:rsidRPr="00F50498">
        <w:rPr>
          <w:sz w:val="28"/>
          <w:szCs w:val="28"/>
          <w:lang w:val="fr"/>
        </w:rPr>
        <w:t xml:space="preserve"> la surface sèche, tandis qu'elle est couverte avec la solution fonctionnante</w:t>
      </w:r>
    </w:p>
    <w:p w:rsidR="00A56F5C" w:rsidRDefault="00A56F5C" w:rsidP="00AA7DD9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DD0508" w:rsidRDefault="00EF4421" w:rsidP="00AA7DD9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sz w:val="28"/>
          <w:szCs w:val="28"/>
          <w:lang w:val="fr"/>
        </w:rPr>
        <w:t>AVERTISSEMENT :</w:t>
      </w:r>
      <w:r w:rsidR="00DD0508">
        <w:rPr>
          <w:sz w:val="28"/>
          <w:szCs w:val="28"/>
          <w:lang w:val="fr"/>
        </w:rPr>
        <w:t xml:space="preserve"> </w:t>
      </w:r>
      <w:r>
        <w:rPr>
          <w:sz w:val="28"/>
          <w:szCs w:val="28"/>
          <w:lang w:val="fr"/>
        </w:rPr>
        <w:t>Ne pas utiliser sur une surface chromée, nickelée ou émaillée.</w:t>
      </w:r>
    </w:p>
    <w:p w:rsidR="00186841" w:rsidRDefault="00186841" w:rsidP="00AA7DD9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sz w:val="28"/>
          <w:szCs w:val="28"/>
          <w:lang w:val="fr"/>
        </w:rPr>
        <w:t>Utiliser le concentré comme solution de travail est possible, après une analyse approfondie de la surface nettoyée</w:t>
      </w:r>
      <w:r w:rsidR="00A4398D">
        <w:rPr>
          <w:sz w:val="28"/>
          <w:szCs w:val="28"/>
          <w:lang w:val="fr"/>
        </w:rPr>
        <w:t>, mais il est conseillé d'effectuer le test de durabilité du matériau.</w:t>
      </w:r>
    </w:p>
    <w:p w:rsidR="00A56F5C" w:rsidRDefault="00A56F5C" w:rsidP="00AA7DD9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F059B2" w:rsidRPr="002D1367" w:rsidRDefault="00F50498" w:rsidP="00F059B2">
      <w:pPr>
        <w:ind w:left="-851" w:right="-851"/>
        <w:jc w:val="both"/>
        <w:rPr>
          <w:rFonts w:ascii="Arial" w:hAnsi="Arial" w:cs="Arial"/>
          <w:b/>
          <w:i/>
          <w:sz w:val="36"/>
          <w:szCs w:val="28"/>
          <w:lang w:val="en-US"/>
        </w:rPr>
      </w:pPr>
      <w:r>
        <w:rPr>
          <w:b/>
          <w:i/>
          <w:sz w:val="36"/>
          <w:szCs w:val="28"/>
          <w:lang w:val="fr"/>
        </w:rPr>
        <w:lastRenderedPageBreak/>
        <w:t>Danger</w:t>
      </w:r>
      <w:r w:rsidRPr="002D1367">
        <w:rPr>
          <w:b/>
          <w:i/>
          <w:sz w:val="36"/>
          <w:szCs w:val="28"/>
          <w:lang w:val="fr"/>
        </w:rPr>
        <w:t xml:space="preserve"> :</w:t>
      </w:r>
    </w:p>
    <w:p w:rsidR="003E597D" w:rsidRDefault="004A4F04" w:rsidP="00AA7DD9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noProof/>
          <w:lang w:val="fr"/>
        </w:rPr>
        <w:drawing>
          <wp:inline distT="0" distB="0" distL="0" distR="0">
            <wp:extent cx="1047750" cy="1047750"/>
            <wp:effectExtent l="19050" t="0" r="0" b="0"/>
            <wp:docPr id="2" name="Obraz 2" descr="exc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cla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F04" w:rsidRPr="004A4F04" w:rsidRDefault="004A4F04" w:rsidP="009A323B">
      <w:pPr>
        <w:tabs>
          <w:tab w:val="left" w:pos="-567"/>
        </w:tabs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4A4F04">
        <w:rPr>
          <w:sz w:val="28"/>
          <w:szCs w:val="28"/>
          <w:lang w:val="fr"/>
        </w:rPr>
        <w:t xml:space="preserve">– </w:t>
      </w:r>
      <w:r w:rsidR="009A323B">
        <w:rPr>
          <w:sz w:val="28"/>
          <w:szCs w:val="28"/>
          <w:lang w:val="fr"/>
        </w:rPr>
        <w:tab/>
      </w:r>
      <w:r w:rsidRPr="004A4F04">
        <w:rPr>
          <w:sz w:val="28"/>
          <w:szCs w:val="28"/>
          <w:lang w:val="fr"/>
        </w:rPr>
        <w:t>Pourrait être corrosif pour les métaux.</w:t>
      </w:r>
    </w:p>
    <w:p w:rsidR="004A4F04" w:rsidRPr="004A4F04" w:rsidRDefault="004A4F04" w:rsidP="009A323B">
      <w:pPr>
        <w:tabs>
          <w:tab w:val="left" w:pos="-567"/>
        </w:tabs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4A4F04">
        <w:rPr>
          <w:sz w:val="28"/>
          <w:szCs w:val="28"/>
          <w:lang w:val="fr"/>
        </w:rPr>
        <w:t xml:space="preserve">– </w:t>
      </w:r>
      <w:r w:rsidR="009A323B">
        <w:rPr>
          <w:sz w:val="28"/>
          <w:szCs w:val="28"/>
          <w:lang w:val="fr"/>
        </w:rPr>
        <w:tab/>
      </w:r>
      <w:r w:rsidRPr="004A4F04">
        <w:rPr>
          <w:sz w:val="28"/>
          <w:szCs w:val="28"/>
          <w:lang w:val="fr"/>
        </w:rPr>
        <w:t>Provoque une irritation cutanée.</w:t>
      </w:r>
    </w:p>
    <w:p w:rsidR="004A4F04" w:rsidRPr="004A4F04" w:rsidRDefault="004A4F04" w:rsidP="009A323B">
      <w:pPr>
        <w:tabs>
          <w:tab w:val="left" w:pos="-567"/>
        </w:tabs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4A4F04">
        <w:rPr>
          <w:sz w:val="28"/>
          <w:szCs w:val="28"/>
          <w:lang w:val="fr"/>
        </w:rPr>
        <w:t xml:space="preserve">– </w:t>
      </w:r>
      <w:r w:rsidR="009A323B">
        <w:rPr>
          <w:sz w:val="28"/>
          <w:szCs w:val="28"/>
          <w:lang w:val="fr"/>
        </w:rPr>
        <w:tab/>
      </w:r>
      <w:r w:rsidRPr="004A4F04">
        <w:rPr>
          <w:sz w:val="28"/>
          <w:szCs w:val="28"/>
          <w:lang w:val="fr"/>
        </w:rPr>
        <w:t>Provoque une irritation oculaire grave.</w:t>
      </w:r>
    </w:p>
    <w:p w:rsidR="006E4663" w:rsidRDefault="004A4F04" w:rsidP="009A323B">
      <w:pPr>
        <w:tabs>
          <w:tab w:val="left" w:pos="-567"/>
        </w:tabs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4A4F04">
        <w:rPr>
          <w:sz w:val="28"/>
          <w:szCs w:val="28"/>
          <w:lang w:val="fr"/>
        </w:rPr>
        <w:t xml:space="preserve">– </w:t>
      </w:r>
      <w:r w:rsidR="009A323B">
        <w:rPr>
          <w:sz w:val="28"/>
          <w:szCs w:val="28"/>
          <w:lang w:val="fr"/>
        </w:rPr>
        <w:tab/>
      </w:r>
      <w:r w:rsidRPr="004A4F04">
        <w:rPr>
          <w:sz w:val="28"/>
          <w:szCs w:val="28"/>
          <w:lang w:val="fr"/>
        </w:rPr>
        <w:t>Une irritation respiratoire.</w:t>
      </w:r>
    </w:p>
    <w:p w:rsidR="004A4F04" w:rsidRPr="00BD62DB" w:rsidRDefault="004A4F04" w:rsidP="009A323B">
      <w:pPr>
        <w:tabs>
          <w:tab w:val="left" w:pos="-567"/>
        </w:tabs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4A4F04" w:rsidRPr="004A4F04" w:rsidRDefault="004A4F04" w:rsidP="009A323B">
      <w:pPr>
        <w:tabs>
          <w:tab w:val="left" w:pos="-567"/>
        </w:tabs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4A4F04">
        <w:rPr>
          <w:sz w:val="28"/>
          <w:szCs w:val="28"/>
          <w:lang w:val="fr"/>
        </w:rPr>
        <w:t xml:space="preserve">– </w:t>
      </w:r>
      <w:r w:rsidR="009A323B">
        <w:rPr>
          <w:sz w:val="28"/>
          <w:szCs w:val="28"/>
          <w:lang w:val="fr"/>
        </w:rPr>
        <w:tab/>
      </w:r>
      <w:r w:rsidRPr="004A4F04">
        <w:rPr>
          <w:sz w:val="28"/>
          <w:szCs w:val="28"/>
          <w:lang w:val="fr"/>
        </w:rPr>
        <w:t>Utiliser unique</w:t>
      </w:r>
      <w:r w:rsidR="00EF4421">
        <w:rPr>
          <w:sz w:val="28"/>
          <w:szCs w:val="28"/>
          <w:lang w:val="fr"/>
        </w:rPr>
        <w:t>ment</w:t>
      </w:r>
      <w:r w:rsidRPr="004A4F04">
        <w:rPr>
          <w:sz w:val="28"/>
          <w:szCs w:val="28"/>
          <w:lang w:val="fr"/>
        </w:rPr>
        <w:t xml:space="preserve"> à l'extérieur ou dans un endroit bien aéré.</w:t>
      </w:r>
      <w:r w:rsidRPr="004A4F04">
        <w:rPr>
          <w:sz w:val="28"/>
          <w:szCs w:val="28"/>
          <w:lang w:val="fr"/>
        </w:rPr>
        <w:tab/>
      </w:r>
    </w:p>
    <w:p w:rsidR="004A4F04" w:rsidRPr="004A4F04" w:rsidRDefault="004A4F04" w:rsidP="009A323B">
      <w:pPr>
        <w:tabs>
          <w:tab w:val="left" w:pos="-567"/>
        </w:tabs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4A4F04">
        <w:rPr>
          <w:sz w:val="28"/>
          <w:szCs w:val="28"/>
          <w:lang w:val="fr"/>
        </w:rPr>
        <w:t xml:space="preserve">– </w:t>
      </w:r>
      <w:r w:rsidR="009A323B">
        <w:rPr>
          <w:sz w:val="28"/>
          <w:szCs w:val="28"/>
          <w:lang w:val="fr"/>
        </w:rPr>
        <w:tab/>
      </w:r>
      <w:r w:rsidRPr="004A4F04">
        <w:rPr>
          <w:sz w:val="28"/>
          <w:szCs w:val="28"/>
          <w:lang w:val="fr"/>
        </w:rPr>
        <w:t>Portez des gants de protection/vêtements de protection/protection oculaire/protection faciale.</w:t>
      </w:r>
    </w:p>
    <w:p w:rsidR="004A4F04" w:rsidRPr="004A4F04" w:rsidRDefault="009A323B" w:rsidP="009A323B">
      <w:pPr>
        <w:tabs>
          <w:tab w:val="left" w:pos="-567"/>
        </w:tabs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sz w:val="28"/>
          <w:szCs w:val="28"/>
          <w:lang w:val="fr"/>
        </w:rPr>
        <w:t>–</w:t>
      </w:r>
      <w:r>
        <w:rPr>
          <w:sz w:val="28"/>
          <w:szCs w:val="28"/>
          <w:lang w:val="fr"/>
        </w:rPr>
        <w:tab/>
      </w:r>
      <w:r w:rsidR="004A4F04" w:rsidRPr="004A4F04">
        <w:rPr>
          <w:sz w:val="28"/>
          <w:szCs w:val="28"/>
          <w:lang w:val="fr"/>
        </w:rPr>
        <w:t xml:space="preserve">Si </w:t>
      </w:r>
      <w:r w:rsidR="003B43D5">
        <w:rPr>
          <w:sz w:val="28"/>
          <w:szCs w:val="28"/>
          <w:lang w:val="fr"/>
        </w:rPr>
        <w:t xml:space="preserve">c’est </w:t>
      </w:r>
      <w:r w:rsidR="004A4F04" w:rsidRPr="004A4F04">
        <w:rPr>
          <w:sz w:val="28"/>
          <w:szCs w:val="28"/>
          <w:lang w:val="fr"/>
        </w:rPr>
        <w:t xml:space="preserve">dans les </w:t>
      </w:r>
      <w:r w:rsidR="003B43D5" w:rsidRPr="004A4F04">
        <w:rPr>
          <w:sz w:val="28"/>
          <w:szCs w:val="28"/>
          <w:lang w:val="fr"/>
        </w:rPr>
        <w:t>yeux :</w:t>
      </w:r>
      <w:r w:rsidR="004A4F04" w:rsidRPr="004A4F04">
        <w:rPr>
          <w:sz w:val="28"/>
          <w:szCs w:val="28"/>
          <w:lang w:val="fr"/>
        </w:rPr>
        <w:t xml:space="preserve"> rince</w:t>
      </w:r>
      <w:r w:rsidR="003B43D5">
        <w:rPr>
          <w:sz w:val="28"/>
          <w:szCs w:val="28"/>
          <w:lang w:val="fr"/>
        </w:rPr>
        <w:t xml:space="preserve">z </w:t>
      </w:r>
      <w:r w:rsidR="004A4F04" w:rsidRPr="004A4F04">
        <w:rPr>
          <w:sz w:val="28"/>
          <w:szCs w:val="28"/>
          <w:lang w:val="fr"/>
        </w:rPr>
        <w:t xml:space="preserve">prudemment avec de l'eau pendant plusieurs minutes. </w:t>
      </w:r>
      <w:r w:rsidR="003B43D5">
        <w:rPr>
          <w:sz w:val="28"/>
          <w:szCs w:val="28"/>
          <w:lang w:val="fr"/>
        </w:rPr>
        <w:t>Retirez les lentilles de contact</w:t>
      </w:r>
      <w:r w:rsidR="004A4F04" w:rsidRPr="004A4F04">
        <w:rPr>
          <w:sz w:val="28"/>
          <w:szCs w:val="28"/>
          <w:lang w:val="fr"/>
        </w:rPr>
        <w:t>, si présent et facile à faire. Continuez de rincer.</w:t>
      </w:r>
    </w:p>
    <w:p w:rsidR="004A4F04" w:rsidRPr="004A4F04" w:rsidRDefault="004A4F04" w:rsidP="009A323B">
      <w:pPr>
        <w:tabs>
          <w:tab w:val="left" w:pos="-567"/>
        </w:tabs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4A4F04">
        <w:rPr>
          <w:sz w:val="28"/>
          <w:szCs w:val="28"/>
          <w:lang w:val="fr"/>
        </w:rPr>
        <w:t xml:space="preserve">– </w:t>
      </w:r>
      <w:r w:rsidR="009A323B">
        <w:rPr>
          <w:sz w:val="28"/>
          <w:szCs w:val="28"/>
          <w:lang w:val="fr"/>
        </w:rPr>
        <w:tab/>
      </w:r>
      <w:r w:rsidR="003B43D5" w:rsidRPr="003B43D5">
        <w:rPr>
          <w:sz w:val="28"/>
          <w:szCs w:val="28"/>
        </w:rPr>
        <w:t>En cas d'irritation cutanée : consulter un médecin.</w:t>
      </w:r>
    </w:p>
    <w:p w:rsidR="005D068E" w:rsidRDefault="004A4F04" w:rsidP="009A323B">
      <w:pPr>
        <w:tabs>
          <w:tab w:val="left" w:pos="-567"/>
        </w:tabs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4A4F04">
        <w:rPr>
          <w:sz w:val="28"/>
          <w:szCs w:val="28"/>
          <w:lang w:val="fr"/>
        </w:rPr>
        <w:t xml:space="preserve">– </w:t>
      </w:r>
      <w:r w:rsidR="009A323B">
        <w:rPr>
          <w:sz w:val="28"/>
          <w:szCs w:val="28"/>
          <w:lang w:val="fr"/>
        </w:rPr>
        <w:tab/>
      </w:r>
      <w:r w:rsidRPr="004A4F04">
        <w:rPr>
          <w:sz w:val="28"/>
          <w:szCs w:val="28"/>
          <w:lang w:val="fr"/>
        </w:rPr>
        <w:t xml:space="preserve">Magasin </w:t>
      </w:r>
      <w:r w:rsidR="003B43D5">
        <w:rPr>
          <w:sz w:val="28"/>
          <w:szCs w:val="28"/>
          <w:lang w:val="fr"/>
        </w:rPr>
        <w:t>bloqu</w:t>
      </w:r>
      <w:r w:rsidRPr="004A4F04">
        <w:rPr>
          <w:sz w:val="28"/>
          <w:szCs w:val="28"/>
          <w:lang w:val="fr"/>
        </w:rPr>
        <w:t>é.</w:t>
      </w:r>
    </w:p>
    <w:p w:rsidR="00CD6280" w:rsidRDefault="00CD6280" w:rsidP="009A323B">
      <w:pPr>
        <w:tabs>
          <w:tab w:val="left" w:pos="-567"/>
        </w:tabs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D91E73" w:rsidRDefault="00D91E73" w:rsidP="00825B8A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5D068E" w:rsidRPr="002D1367" w:rsidRDefault="005D068E" w:rsidP="005D068E">
      <w:pPr>
        <w:ind w:left="-851" w:right="-851"/>
        <w:jc w:val="both"/>
        <w:rPr>
          <w:rFonts w:ascii="Arial" w:hAnsi="Arial" w:cs="Arial"/>
          <w:b/>
          <w:i/>
          <w:sz w:val="36"/>
          <w:szCs w:val="28"/>
          <w:lang w:val="en-US"/>
        </w:rPr>
      </w:pPr>
      <w:r>
        <w:rPr>
          <w:b/>
          <w:i/>
          <w:sz w:val="36"/>
          <w:szCs w:val="28"/>
          <w:lang w:val="fr"/>
        </w:rPr>
        <w:t xml:space="preserve">Date de </w:t>
      </w:r>
      <w:r w:rsidR="00F50498">
        <w:rPr>
          <w:b/>
          <w:i/>
          <w:sz w:val="36"/>
          <w:szCs w:val="28"/>
          <w:lang w:val="fr"/>
        </w:rPr>
        <w:t>vente</w:t>
      </w:r>
      <w:r w:rsidR="00F50498" w:rsidRPr="002D1367">
        <w:rPr>
          <w:b/>
          <w:i/>
          <w:sz w:val="36"/>
          <w:szCs w:val="28"/>
          <w:lang w:val="fr"/>
        </w:rPr>
        <w:t xml:space="preserve"> :</w:t>
      </w:r>
    </w:p>
    <w:p w:rsidR="005D068E" w:rsidRDefault="005D068E" w:rsidP="00825B8A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5D068E">
        <w:rPr>
          <w:sz w:val="28"/>
          <w:szCs w:val="28"/>
          <w:lang w:val="fr"/>
        </w:rPr>
        <w:t xml:space="preserve">36 </w:t>
      </w:r>
      <w:r>
        <w:rPr>
          <w:sz w:val="28"/>
          <w:szCs w:val="28"/>
          <w:lang w:val="fr"/>
        </w:rPr>
        <w:t>mois à compter de la date de production.</w:t>
      </w:r>
    </w:p>
    <w:p w:rsidR="005D068E" w:rsidRDefault="00190C06" w:rsidP="00825B8A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sz w:val="28"/>
          <w:szCs w:val="28"/>
          <w:lang w:val="fr"/>
        </w:rPr>
        <w:t>La date de production/la série et la date d'expiration sont indiquées sur l'emballage.</w:t>
      </w:r>
    </w:p>
    <w:p w:rsidR="00190C06" w:rsidRDefault="00190C06" w:rsidP="00825B8A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190C06" w:rsidRDefault="00190C06" w:rsidP="00825B8A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190C06" w:rsidRPr="002D1367" w:rsidRDefault="00190C06" w:rsidP="00190C06">
      <w:pPr>
        <w:ind w:left="-851" w:right="-851"/>
        <w:jc w:val="both"/>
        <w:rPr>
          <w:rFonts w:ascii="Arial" w:hAnsi="Arial" w:cs="Arial"/>
          <w:b/>
          <w:i/>
          <w:sz w:val="36"/>
          <w:szCs w:val="28"/>
          <w:lang w:val="en-US"/>
        </w:rPr>
      </w:pPr>
      <w:r>
        <w:rPr>
          <w:b/>
          <w:i/>
          <w:sz w:val="36"/>
          <w:szCs w:val="28"/>
          <w:lang w:val="fr"/>
        </w:rPr>
        <w:t xml:space="preserve">Informations </w:t>
      </w:r>
      <w:r w:rsidR="00F50498">
        <w:rPr>
          <w:b/>
          <w:i/>
          <w:sz w:val="36"/>
          <w:szCs w:val="28"/>
          <w:lang w:val="fr"/>
        </w:rPr>
        <w:t>complémentaires</w:t>
      </w:r>
      <w:r w:rsidR="00F50498" w:rsidRPr="002D1367">
        <w:rPr>
          <w:b/>
          <w:i/>
          <w:sz w:val="36"/>
          <w:szCs w:val="28"/>
          <w:lang w:val="fr"/>
        </w:rPr>
        <w:t xml:space="preserve"> :</w:t>
      </w:r>
    </w:p>
    <w:p w:rsidR="00BD62DB" w:rsidRPr="003B43D5" w:rsidRDefault="003B43D5" w:rsidP="00190C06">
      <w:pPr>
        <w:ind w:left="-851" w:right="-851"/>
        <w:jc w:val="both"/>
        <w:rPr>
          <w:sz w:val="28"/>
          <w:szCs w:val="28"/>
        </w:rPr>
      </w:pPr>
      <w:r w:rsidRPr="003B43D5">
        <w:rPr>
          <w:sz w:val="28"/>
          <w:szCs w:val="28"/>
        </w:rPr>
        <w:t>Des informations supplémentaires peuvent être trouvées dans la fiche de données de sécurité.</w:t>
      </w:r>
    </w:p>
    <w:p w:rsidR="003B43D5" w:rsidRDefault="003B43D5" w:rsidP="00190C06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190C06" w:rsidRPr="003B43D5" w:rsidRDefault="003B43D5" w:rsidP="00190C06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3B43D5">
        <w:rPr>
          <w:sz w:val="28"/>
          <w:szCs w:val="28"/>
        </w:rPr>
        <w:t>Les contenants contaminés devraient être complètement vidés.Rincer plusieurs fois le récipient rapidement après la vidange.</w:t>
      </w:r>
      <w:r w:rsidR="00190C06" w:rsidRPr="003B43D5">
        <w:rPr>
          <w:sz w:val="28"/>
          <w:szCs w:val="28"/>
          <w:lang w:val="fr"/>
        </w:rPr>
        <w:t>Le récipient vide est stocké dans des récipients pour la collecte d</w:t>
      </w:r>
      <w:r w:rsidR="00EF4421">
        <w:rPr>
          <w:sz w:val="28"/>
          <w:szCs w:val="28"/>
          <w:lang w:val="fr"/>
        </w:rPr>
        <w:t>’emballage plastique</w:t>
      </w:r>
      <w:r w:rsidR="00190C06" w:rsidRPr="003B43D5">
        <w:rPr>
          <w:sz w:val="28"/>
          <w:szCs w:val="28"/>
          <w:lang w:val="fr"/>
        </w:rPr>
        <w:t>, ou pourrait être livré à la compagnie spécialisée pour le recyclage.</w:t>
      </w:r>
    </w:p>
    <w:p w:rsidR="00190C06" w:rsidRPr="00190C06" w:rsidRDefault="00190C06" w:rsidP="00190C06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</w:p>
    <w:p w:rsidR="00190C06" w:rsidRPr="00FC52A9" w:rsidRDefault="00190C06" w:rsidP="00190C06">
      <w:pPr>
        <w:ind w:left="-851" w:right="-851"/>
        <w:jc w:val="both"/>
        <w:rPr>
          <w:rFonts w:ascii="Arial" w:hAnsi="Arial" w:cs="Arial"/>
          <w:sz w:val="28"/>
          <w:szCs w:val="28"/>
          <w:lang w:val="en-US"/>
        </w:rPr>
      </w:pPr>
      <w:r w:rsidRPr="00190C06">
        <w:rPr>
          <w:sz w:val="28"/>
          <w:szCs w:val="28"/>
          <w:lang w:val="fr"/>
        </w:rPr>
        <w:t xml:space="preserve">L'élimination </w:t>
      </w:r>
      <w:r w:rsidR="003B43D5">
        <w:rPr>
          <w:sz w:val="28"/>
          <w:szCs w:val="28"/>
          <w:lang w:val="fr"/>
        </w:rPr>
        <w:t>doit</w:t>
      </w:r>
      <w:r w:rsidRPr="00190C06">
        <w:rPr>
          <w:sz w:val="28"/>
          <w:szCs w:val="28"/>
          <w:lang w:val="fr"/>
        </w:rPr>
        <w:t xml:space="preserve"> être conforme aux réglementations nationales/internationales</w:t>
      </w:r>
    </w:p>
    <w:sectPr w:rsidR="00190C06" w:rsidRPr="00FC52A9" w:rsidSect="00EF71B3">
      <w:headerReference w:type="default" r:id="rId10"/>
      <w:footerReference w:type="default" r:id="rId11"/>
      <w:pgSz w:w="11906" w:h="16838"/>
      <w:pgMar w:top="1417" w:right="1417" w:bottom="1417" w:left="1417" w:header="284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D7D" w:rsidRDefault="00255D7D" w:rsidP="00DA399E">
      <w:r>
        <w:rPr>
          <w:lang w:val="fr"/>
        </w:rPr>
        <w:separator/>
      </w:r>
    </w:p>
  </w:endnote>
  <w:endnote w:type="continuationSeparator" w:id="0">
    <w:p w:rsidR="00255D7D" w:rsidRDefault="00255D7D" w:rsidP="00DA399E"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tzerlandBlac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0470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EF71B3" w:rsidRPr="007B4B58" w:rsidRDefault="00EF71B3" w:rsidP="007B4B58">
            <w:pPr>
              <w:pStyle w:val="Pieddepage"/>
              <w:tabs>
                <w:tab w:val="clear" w:pos="9072"/>
                <w:tab w:val="right" w:pos="9923"/>
              </w:tabs>
              <w:ind w:left="-142" w:right="-851" w:hanging="70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4B58">
              <w:rPr>
                <w:sz w:val="20"/>
                <w:szCs w:val="20"/>
                <w:lang w:val="fr"/>
              </w:rPr>
              <w:t xml:space="preserve">Tél. </w:t>
            </w:r>
            <w:r w:rsidR="00D17CE7" w:rsidRPr="007B4B58">
              <w:rPr>
                <w:sz w:val="20"/>
                <w:szCs w:val="20"/>
                <w:lang w:val="fr"/>
              </w:rPr>
              <w:tab/>
            </w:r>
            <w:r w:rsidRPr="007B4B58">
              <w:rPr>
                <w:sz w:val="20"/>
                <w:szCs w:val="20"/>
                <w:lang w:val="fr"/>
              </w:rPr>
              <w:t>+ 48 91 311 97 77</w:t>
            </w:r>
          </w:p>
          <w:p w:rsidR="00EF71B3" w:rsidRPr="007B4B58" w:rsidRDefault="00EF71B3" w:rsidP="007B4B58">
            <w:pPr>
              <w:pStyle w:val="Pieddepage"/>
              <w:tabs>
                <w:tab w:val="clear" w:pos="9072"/>
                <w:tab w:val="right" w:pos="9923"/>
              </w:tabs>
              <w:ind w:left="-142" w:right="-851" w:hanging="70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4B58">
              <w:rPr>
                <w:sz w:val="20"/>
                <w:szCs w:val="20"/>
                <w:lang w:val="fr"/>
              </w:rPr>
              <w:t xml:space="preserve">Fax. </w:t>
            </w:r>
            <w:r w:rsidR="00D17CE7" w:rsidRPr="007B4B58">
              <w:rPr>
                <w:sz w:val="20"/>
                <w:szCs w:val="20"/>
                <w:lang w:val="fr"/>
              </w:rPr>
              <w:tab/>
            </w:r>
            <w:r w:rsidRPr="007B4B58">
              <w:rPr>
                <w:sz w:val="20"/>
                <w:szCs w:val="20"/>
                <w:lang w:val="fr"/>
              </w:rPr>
              <w:t>+ 48 91 311 97 79</w:t>
            </w:r>
          </w:p>
          <w:p w:rsidR="00EF71B3" w:rsidRPr="007B4B58" w:rsidRDefault="00EF71B3" w:rsidP="007B4B58">
            <w:pPr>
              <w:pStyle w:val="Pieddepage"/>
              <w:tabs>
                <w:tab w:val="clear" w:pos="9072"/>
                <w:tab w:val="right" w:pos="9923"/>
              </w:tabs>
              <w:ind w:left="-142" w:right="-851" w:hanging="709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7B4B58">
              <w:rPr>
                <w:sz w:val="20"/>
                <w:szCs w:val="20"/>
                <w:lang w:val="fr"/>
              </w:rPr>
              <w:t>Courriel:</w:t>
            </w:r>
            <w:proofErr w:type="gramEnd"/>
            <w:r w:rsidRPr="007B4B58">
              <w:rPr>
                <w:sz w:val="20"/>
                <w:szCs w:val="20"/>
                <w:lang w:val="fr"/>
              </w:rPr>
              <w:t xml:space="preserve"> </w:t>
            </w:r>
            <w:r w:rsidR="007B4B58">
              <w:rPr>
                <w:sz w:val="20"/>
                <w:szCs w:val="20"/>
                <w:lang w:val="fr"/>
              </w:rPr>
              <w:tab/>
            </w:r>
            <w:r w:rsidR="007B4B58" w:rsidRPr="007B4B58">
              <w:rPr>
                <w:sz w:val="20"/>
                <w:szCs w:val="20"/>
                <w:lang w:val="fr"/>
              </w:rPr>
              <w:t>info@tenzi.pl, www.Tenzi.pl</w:t>
            </w:r>
            <w:r w:rsidR="00D8502E" w:rsidRPr="007B4B58">
              <w:rPr>
                <w:sz w:val="20"/>
                <w:szCs w:val="20"/>
                <w:lang w:val="fr"/>
              </w:rPr>
              <w:tab/>
            </w:r>
            <w:r w:rsidR="00D8502E" w:rsidRPr="007B4B58">
              <w:rPr>
                <w:sz w:val="20"/>
                <w:szCs w:val="20"/>
                <w:lang w:val="fr"/>
              </w:rPr>
              <w:tab/>
            </w:r>
            <w:r w:rsidRPr="007B4B58">
              <w:rPr>
                <w:sz w:val="20"/>
                <w:szCs w:val="20"/>
                <w:lang w:val="fr"/>
              </w:rPr>
              <w:t xml:space="preserve">Page </w:t>
            </w:r>
            <w:r w:rsidR="00555EAB" w:rsidRPr="007B4B58">
              <w:rPr>
                <w:sz w:val="20"/>
                <w:szCs w:val="20"/>
                <w:lang w:val="fr"/>
              </w:rPr>
              <w:fldChar w:fldCharType="begin"/>
            </w:r>
            <w:r w:rsidRPr="007B4B58">
              <w:rPr>
                <w:sz w:val="20"/>
                <w:szCs w:val="20"/>
                <w:lang w:val="fr"/>
              </w:rPr>
              <w:instrText>PAGE</w:instrText>
            </w:r>
            <w:r w:rsidR="00555EAB" w:rsidRPr="007B4B58">
              <w:rPr>
                <w:sz w:val="20"/>
                <w:szCs w:val="20"/>
                <w:lang w:val="fr"/>
              </w:rPr>
              <w:fldChar w:fldCharType="separate"/>
            </w:r>
            <w:r w:rsidR="00CD6280">
              <w:rPr>
                <w:noProof/>
                <w:sz w:val="20"/>
                <w:szCs w:val="20"/>
                <w:lang w:val="fr"/>
              </w:rPr>
              <w:t>2</w:t>
            </w:r>
            <w:r w:rsidR="00555EAB" w:rsidRPr="007B4B58">
              <w:rPr>
                <w:sz w:val="20"/>
                <w:szCs w:val="20"/>
                <w:lang w:val="fr"/>
              </w:rPr>
              <w:fldChar w:fldCharType="end"/>
            </w:r>
            <w:r w:rsidRPr="007B4B58">
              <w:rPr>
                <w:sz w:val="20"/>
                <w:szCs w:val="20"/>
                <w:lang w:val="fr"/>
              </w:rPr>
              <w:t xml:space="preserve"> </w:t>
            </w:r>
            <w:proofErr w:type="spellStart"/>
            <w:r w:rsidR="00D8502E" w:rsidRPr="007B4B58">
              <w:rPr>
                <w:sz w:val="20"/>
                <w:szCs w:val="20"/>
                <w:lang w:val="fr"/>
              </w:rPr>
              <w:t>o</w:t>
            </w:r>
            <w:r w:rsidRPr="007B4B58">
              <w:rPr>
                <w:sz w:val="20"/>
                <w:szCs w:val="20"/>
                <w:lang w:val="fr"/>
              </w:rPr>
              <w:t>F</w:t>
            </w:r>
            <w:proofErr w:type="spellEnd"/>
            <w:r w:rsidRPr="007B4B58">
              <w:rPr>
                <w:sz w:val="20"/>
                <w:szCs w:val="20"/>
                <w:lang w:val="fr"/>
              </w:rPr>
              <w:t xml:space="preserve"> </w:t>
            </w:r>
            <w:r w:rsidR="00555EAB" w:rsidRPr="007B4B58">
              <w:rPr>
                <w:sz w:val="20"/>
                <w:szCs w:val="20"/>
                <w:lang w:val="fr"/>
              </w:rPr>
              <w:fldChar w:fldCharType="begin"/>
            </w:r>
            <w:r w:rsidRPr="007B4B58">
              <w:rPr>
                <w:sz w:val="20"/>
                <w:szCs w:val="20"/>
                <w:lang w:val="fr"/>
              </w:rPr>
              <w:instrText>NUMPAGES</w:instrText>
            </w:r>
            <w:r w:rsidR="00555EAB" w:rsidRPr="007B4B58">
              <w:rPr>
                <w:sz w:val="20"/>
                <w:szCs w:val="20"/>
                <w:lang w:val="fr"/>
              </w:rPr>
              <w:fldChar w:fldCharType="separate"/>
            </w:r>
            <w:r w:rsidR="00CD6280">
              <w:rPr>
                <w:noProof/>
                <w:sz w:val="20"/>
                <w:szCs w:val="20"/>
                <w:lang w:val="fr"/>
              </w:rPr>
              <w:t>2</w:t>
            </w:r>
            <w:r w:rsidR="00555EAB" w:rsidRPr="007B4B58">
              <w:rPr>
                <w:sz w:val="20"/>
                <w:szCs w:val="20"/>
                <w:lang w:val="fr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D7D" w:rsidRDefault="00255D7D" w:rsidP="00DA399E">
      <w:r>
        <w:rPr>
          <w:lang w:val="fr"/>
        </w:rPr>
        <w:separator/>
      </w:r>
    </w:p>
  </w:footnote>
  <w:footnote w:type="continuationSeparator" w:id="0">
    <w:p w:rsidR="00255D7D" w:rsidRDefault="00255D7D" w:rsidP="00DA399E">
      <w:r>
        <w:rPr>
          <w:lang w:val="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178" w:rsidRPr="00726178" w:rsidRDefault="00EF4421" w:rsidP="00726178">
    <w:pPr>
      <w:pStyle w:val="En-tte"/>
      <w:tabs>
        <w:tab w:val="clear" w:pos="9072"/>
        <w:tab w:val="right" w:pos="9923"/>
      </w:tabs>
      <w:ind w:right="-567"/>
      <w:rPr>
        <w:b/>
        <w:i/>
        <w:color w:val="8AD044"/>
      </w:rPr>
    </w:pPr>
    <w:r>
      <w:rPr>
        <w:b/>
        <w:i/>
        <w:noProof/>
        <w:color w:val="0000FF"/>
        <w:sz w:val="18"/>
        <w:szCs w:val="18"/>
        <w:lang w:val="f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67.75pt;margin-top:-351.05pt;width:489.15pt;height:685.95pt;z-index:-251658752">
          <v:imagedata r:id="rId1" o:title=""/>
        </v:shape>
        <o:OLEObject Type="Embed" ProgID="AcroExch.Document.11" ShapeID="_x0000_s2049" DrawAspect="Content" ObjectID="_1587886850" r:id="rId2"/>
      </w:object>
    </w:r>
    <w:r w:rsidR="00726178" w:rsidRPr="00753CE4">
      <w:rPr>
        <w:b/>
        <w:i/>
        <w:color w:val="0000FF"/>
        <w:sz w:val="18"/>
        <w:szCs w:val="18"/>
        <w:lang w:val="fr"/>
      </w:rPr>
      <w:t xml:space="preserve">                                                     </w:t>
    </w:r>
    <w:r w:rsidR="00726178">
      <w:rPr>
        <w:b/>
        <w:i/>
        <w:color w:val="0000FF"/>
        <w:sz w:val="18"/>
        <w:szCs w:val="18"/>
        <w:lang w:val="fr"/>
      </w:rPr>
      <w:t xml:space="preserve">                                                  </w:t>
    </w:r>
    <w:r w:rsidR="00726178">
      <w:rPr>
        <w:b/>
        <w:i/>
        <w:color w:val="0000FF"/>
        <w:sz w:val="18"/>
        <w:szCs w:val="18"/>
        <w:lang w:val="fr"/>
      </w:rPr>
      <w:tab/>
    </w:r>
    <w:r w:rsidR="00726178" w:rsidRPr="00726178">
      <w:rPr>
        <w:b/>
        <w:i/>
        <w:color w:val="8AD044"/>
        <w:lang w:val="fr"/>
      </w:rPr>
      <w:t xml:space="preserve">TENZI SP. </w:t>
    </w:r>
    <w:proofErr w:type="gramStart"/>
    <w:r w:rsidR="00726178" w:rsidRPr="00726178">
      <w:rPr>
        <w:b/>
        <w:i/>
        <w:color w:val="8AD044"/>
        <w:lang w:val="fr"/>
      </w:rPr>
      <w:t>z</w:t>
    </w:r>
    <w:proofErr w:type="gramEnd"/>
    <w:r w:rsidR="00726178" w:rsidRPr="00726178">
      <w:rPr>
        <w:b/>
        <w:i/>
        <w:color w:val="8AD044"/>
        <w:lang w:val="fr"/>
      </w:rPr>
      <w:t xml:space="preserve"> </w:t>
    </w:r>
    <w:proofErr w:type="spellStart"/>
    <w:r w:rsidR="00726178" w:rsidRPr="00726178">
      <w:rPr>
        <w:b/>
        <w:i/>
        <w:color w:val="8AD044"/>
        <w:lang w:val="fr"/>
      </w:rPr>
      <w:t>O.o</w:t>
    </w:r>
    <w:proofErr w:type="spellEnd"/>
    <w:r w:rsidR="00726178" w:rsidRPr="00726178">
      <w:rPr>
        <w:b/>
        <w:i/>
        <w:color w:val="8AD044"/>
        <w:lang w:val="fr"/>
      </w:rPr>
      <w:t>.</w:t>
    </w:r>
  </w:p>
  <w:p w:rsidR="00726178" w:rsidRPr="00726178" w:rsidRDefault="00726178" w:rsidP="00726178">
    <w:pPr>
      <w:pStyle w:val="En-tte"/>
      <w:tabs>
        <w:tab w:val="clear" w:pos="9072"/>
        <w:tab w:val="right" w:pos="9923"/>
      </w:tabs>
      <w:ind w:right="-567"/>
      <w:rPr>
        <w:b/>
        <w:i/>
        <w:color w:val="8AD044"/>
      </w:rPr>
    </w:pPr>
    <w:r w:rsidRPr="00726178">
      <w:rPr>
        <w:b/>
        <w:i/>
        <w:color w:val="8AD044"/>
        <w:lang w:val="fr"/>
      </w:rPr>
      <w:t xml:space="preserve">                                                                                                             </w:t>
    </w:r>
    <w:r w:rsidRPr="00726178">
      <w:rPr>
        <w:b/>
        <w:i/>
        <w:color w:val="8AD044"/>
        <w:lang w:val="fr"/>
      </w:rPr>
      <w:tab/>
      <w:t>SKARBIMIERZYCE 20</w:t>
    </w:r>
  </w:p>
  <w:p w:rsidR="00726178" w:rsidRPr="00726178" w:rsidRDefault="00726178" w:rsidP="00726178">
    <w:pPr>
      <w:pStyle w:val="En-tte"/>
      <w:tabs>
        <w:tab w:val="clear" w:pos="9072"/>
        <w:tab w:val="right" w:pos="9923"/>
      </w:tabs>
      <w:ind w:right="-567"/>
      <w:rPr>
        <w:b/>
        <w:i/>
        <w:color w:val="8AD044"/>
      </w:rPr>
    </w:pPr>
    <w:r w:rsidRPr="00726178">
      <w:rPr>
        <w:b/>
        <w:i/>
        <w:color w:val="8AD044"/>
        <w:lang w:val="fr"/>
      </w:rPr>
      <w:t xml:space="preserve">                                                                    </w:t>
    </w:r>
    <w:r w:rsidRPr="00726178">
      <w:rPr>
        <w:b/>
        <w:i/>
        <w:color w:val="8AD044"/>
        <w:lang w:val="fr"/>
      </w:rPr>
      <w:tab/>
      <w:t xml:space="preserve"> </w:t>
    </w:r>
    <w:r w:rsidRPr="00726178">
      <w:rPr>
        <w:b/>
        <w:i/>
        <w:color w:val="8AD044"/>
        <w:lang w:val="fr"/>
      </w:rPr>
      <w:tab/>
      <w:t>72-002 DOŁUJE</w:t>
    </w:r>
  </w:p>
  <w:p w:rsidR="00A747E4" w:rsidRDefault="00A747E4" w:rsidP="00A747E4">
    <w:pPr>
      <w:pStyle w:val="En-tte"/>
      <w:jc w:val="center"/>
      <w:rPr>
        <w:rFonts w:ascii="SwitzerlandBlack" w:hAnsi="SwitzerlandBlack"/>
        <w:b/>
        <w:i/>
        <w:color w:val="8AD044"/>
        <w:sz w:val="38"/>
        <w:lang w:val="en-US"/>
      </w:rPr>
    </w:pPr>
  </w:p>
  <w:p w:rsidR="003B43D5" w:rsidRPr="00A747E4" w:rsidRDefault="003B43D5" w:rsidP="003B43D5">
    <w:pPr>
      <w:pStyle w:val="En-tte"/>
      <w:jc w:val="center"/>
      <w:rPr>
        <w:rFonts w:ascii="SwitzerlandBlack" w:hAnsi="SwitzerlandBlack"/>
        <w:b/>
        <w:i/>
        <w:color w:val="8AD044"/>
        <w:sz w:val="48"/>
        <w:lang w:val="en-US"/>
      </w:rPr>
    </w:pPr>
    <w:r>
      <w:rPr>
        <w:rFonts w:ascii="SwitzerlandBlack" w:hAnsi="SwitzerlandBlack"/>
        <w:b/>
        <w:i/>
        <w:color w:val="8AD044"/>
        <w:sz w:val="48"/>
        <w:lang w:val="en-US"/>
      </w:rPr>
      <w:t>BETORAST</w:t>
    </w:r>
  </w:p>
  <w:p w:rsidR="00A747E4" w:rsidRPr="00A747E4" w:rsidRDefault="00A747E4" w:rsidP="00A747E4">
    <w:pPr>
      <w:pStyle w:val="En-tte"/>
      <w:jc w:val="center"/>
      <w:rPr>
        <w:rFonts w:ascii="SwitzerlandBlack" w:hAnsi="SwitzerlandBlack"/>
        <w:b/>
        <w:i/>
        <w:color w:val="8AD044"/>
        <w:sz w:val="20"/>
        <w:szCs w:val="20"/>
        <w:lang w:val="en-US"/>
      </w:rPr>
    </w:pPr>
  </w:p>
  <w:p w:rsidR="00DA399E" w:rsidRPr="00A747E4" w:rsidRDefault="00DA399E" w:rsidP="00DA399E">
    <w:pPr>
      <w:pStyle w:val="En-tte"/>
      <w:jc w:val="center"/>
      <w:rPr>
        <w:b/>
        <w:sz w:val="40"/>
        <w:u w:val="single"/>
        <w:lang w:val="en-US"/>
      </w:rPr>
    </w:pPr>
    <w:r w:rsidRPr="00A747E4">
      <w:rPr>
        <w:b/>
        <w:sz w:val="40"/>
        <w:u w:val="single"/>
        <w:lang w:val="fr"/>
      </w:rPr>
      <w:t>Fiche technique</w:t>
    </w:r>
  </w:p>
  <w:p w:rsidR="00726178" w:rsidRPr="00A747E4" w:rsidRDefault="00726178" w:rsidP="00DA399E">
    <w:pPr>
      <w:pStyle w:val="En-tte"/>
      <w:jc w:val="center"/>
      <w:rPr>
        <w:b/>
        <w:sz w:val="44"/>
        <w:u w:val="single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99E"/>
    <w:rsid w:val="00003F65"/>
    <w:rsid w:val="000044C7"/>
    <w:rsid w:val="00057140"/>
    <w:rsid w:val="000739A8"/>
    <w:rsid w:val="000A698B"/>
    <w:rsid w:val="000B4520"/>
    <w:rsid w:val="000D78F7"/>
    <w:rsid w:val="001317C7"/>
    <w:rsid w:val="00186841"/>
    <w:rsid w:val="00190C06"/>
    <w:rsid w:val="001A3181"/>
    <w:rsid w:val="00205A47"/>
    <w:rsid w:val="00230EF8"/>
    <w:rsid w:val="00236987"/>
    <w:rsid w:val="00255D7D"/>
    <w:rsid w:val="002D1367"/>
    <w:rsid w:val="002E626A"/>
    <w:rsid w:val="00373839"/>
    <w:rsid w:val="003B43D5"/>
    <w:rsid w:val="003E0D18"/>
    <w:rsid w:val="003E597D"/>
    <w:rsid w:val="00401ED4"/>
    <w:rsid w:val="00413103"/>
    <w:rsid w:val="004258B1"/>
    <w:rsid w:val="004458F2"/>
    <w:rsid w:val="004A2E2D"/>
    <w:rsid w:val="004A4F04"/>
    <w:rsid w:val="004A6038"/>
    <w:rsid w:val="004C2418"/>
    <w:rsid w:val="004D6713"/>
    <w:rsid w:val="00525B91"/>
    <w:rsid w:val="0053193E"/>
    <w:rsid w:val="0053195C"/>
    <w:rsid w:val="005376F3"/>
    <w:rsid w:val="00540388"/>
    <w:rsid w:val="00554371"/>
    <w:rsid w:val="00555EAB"/>
    <w:rsid w:val="00565C1F"/>
    <w:rsid w:val="00593532"/>
    <w:rsid w:val="0059579E"/>
    <w:rsid w:val="005D068E"/>
    <w:rsid w:val="005E29F4"/>
    <w:rsid w:val="006009D0"/>
    <w:rsid w:val="00605E53"/>
    <w:rsid w:val="006343C5"/>
    <w:rsid w:val="006507C6"/>
    <w:rsid w:val="006D614E"/>
    <w:rsid w:val="006E4663"/>
    <w:rsid w:val="007075F0"/>
    <w:rsid w:val="00724903"/>
    <w:rsid w:val="00726178"/>
    <w:rsid w:val="00731699"/>
    <w:rsid w:val="00741551"/>
    <w:rsid w:val="00744DCC"/>
    <w:rsid w:val="007752CE"/>
    <w:rsid w:val="007B1B0D"/>
    <w:rsid w:val="007B4B58"/>
    <w:rsid w:val="007D01B2"/>
    <w:rsid w:val="0080497E"/>
    <w:rsid w:val="00825B8A"/>
    <w:rsid w:val="00836177"/>
    <w:rsid w:val="008D6765"/>
    <w:rsid w:val="00937E25"/>
    <w:rsid w:val="009A323B"/>
    <w:rsid w:val="009C293B"/>
    <w:rsid w:val="009E79E2"/>
    <w:rsid w:val="00A0085F"/>
    <w:rsid w:val="00A14A5C"/>
    <w:rsid w:val="00A4398D"/>
    <w:rsid w:val="00A56F5C"/>
    <w:rsid w:val="00A62B0B"/>
    <w:rsid w:val="00A747E4"/>
    <w:rsid w:val="00A850D7"/>
    <w:rsid w:val="00AA4AE6"/>
    <w:rsid w:val="00AA7DD9"/>
    <w:rsid w:val="00B51F62"/>
    <w:rsid w:val="00BA54F4"/>
    <w:rsid w:val="00BC5992"/>
    <w:rsid w:val="00BD62DB"/>
    <w:rsid w:val="00C052E6"/>
    <w:rsid w:val="00C16A88"/>
    <w:rsid w:val="00C95CF6"/>
    <w:rsid w:val="00CD6280"/>
    <w:rsid w:val="00D1165E"/>
    <w:rsid w:val="00D17CE7"/>
    <w:rsid w:val="00D8502E"/>
    <w:rsid w:val="00D87A73"/>
    <w:rsid w:val="00D91E73"/>
    <w:rsid w:val="00DA399E"/>
    <w:rsid w:val="00DD0508"/>
    <w:rsid w:val="00DF1641"/>
    <w:rsid w:val="00E2342F"/>
    <w:rsid w:val="00EA3D4E"/>
    <w:rsid w:val="00EB5E36"/>
    <w:rsid w:val="00EF4421"/>
    <w:rsid w:val="00EF71B3"/>
    <w:rsid w:val="00F059B2"/>
    <w:rsid w:val="00F27CE1"/>
    <w:rsid w:val="00F4440C"/>
    <w:rsid w:val="00F50498"/>
    <w:rsid w:val="00F72835"/>
    <w:rsid w:val="00F743FA"/>
    <w:rsid w:val="00FB5236"/>
    <w:rsid w:val="00F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995991"/>
  <w15:docId w15:val="{6C27AE4C-CF2D-4A29-95C9-329F16CB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A39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A399E"/>
  </w:style>
  <w:style w:type="paragraph" w:styleId="Pieddepage">
    <w:name w:val="footer"/>
    <w:basedOn w:val="Normal"/>
    <w:link w:val="PieddepageCar"/>
    <w:uiPriority w:val="99"/>
    <w:unhideWhenUsed/>
    <w:rsid w:val="00DA39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399E"/>
  </w:style>
  <w:style w:type="paragraph" w:styleId="Titre">
    <w:name w:val="Title"/>
    <w:basedOn w:val="Normal"/>
    <w:link w:val="TitreCar"/>
    <w:qFormat/>
    <w:rsid w:val="00726178"/>
    <w:pPr>
      <w:widowControl w:val="0"/>
      <w:jc w:val="center"/>
    </w:pPr>
    <w:rPr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72617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47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7E4"/>
    <w:rPr>
      <w:rFonts w:ascii="Tahoma" w:eastAsia="Times New Roman" w:hAnsi="Tahoma" w:cs="Tahoma"/>
      <w:sz w:val="16"/>
      <w:szCs w:val="16"/>
      <w:lang w:eastAsia="pl-PL"/>
    </w:rPr>
  </w:style>
  <w:style w:type="paragraph" w:styleId="Paragraphedeliste">
    <w:name w:val="List Paragraph"/>
    <w:basedOn w:val="Normal"/>
    <w:uiPriority w:val="34"/>
    <w:qFormat/>
    <w:rsid w:val="00FC52A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8502E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50498"/>
    <w:rPr>
      <w:color w:val="808080"/>
    </w:rPr>
  </w:style>
  <w:style w:type="character" w:customStyle="1" w:styleId="shorttext">
    <w:name w:val="short_text"/>
    <w:basedOn w:val="Policepardfaut"/>
    <w:rsid w:val="00F5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Tenzi Sp. z o.o.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Tenzi</dc:creator>
  <cp:keywords/>
  <dc:description/>
  <cp:lastModifiedBy>Christine Skapnet</cp:lastModifiedBy>
  <cp:revision>2</cp:revision>
  <dcterms:created xsi:type="dcterms:W3CDTF">2016-11-29T11:46:00Z</dcterms:created>
  <dcterms:modified xsi:type="dcterms:W3CDTF">2018-05-15T08:54:00Z</dcterms:modified>
  <cp:category/>
</cp:coreProperties>
</file>